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92083" w14:textId="77777777" w:rsidR="00ED3B86" w:rsidRDefault="00ED3B86" w:rsidP="00ED3B86">
      <w:r>
        <w:rPr>
          <w:noProof/>
        </w:rPr>
        <w:drawing>
          <wp:inline distT="0" distB="0" distL="0" distR="0" wp14:anchorId="6E10D854" wp14:editId="1747F8FE">
            <wp:extent cx="5943600" cy="2052955"/>
            <wp:effectExtent l="0" t="0" r="0" b="4445"/>
            <wp:docPr id="2" name="Picture 2" descr="A large yellow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EF COMS2020 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052955"/>
                    </a:xfrm>
                    <a:prstGeom prst="rect">
                      <a:avLst/>
                    </a:prstGeom>
                  </pic:spPr>
                </pic:pic>
              </a:graphicData>
            </a:graphic>
          </wp:inline>
        </w:drawing>
      </w:r>
    </w:p>
    <w:p w14:paraId="5E612997" w14:textId="77777777" w:rsidR="00ED3B86" w:rsidRPr="004E5D40" w:rsidRDefault="00ED3B86" w:rsidP="00ED3B86">
      <w:pPr>
        <w:jc w:val="center"/>
        <w:rPr>
          <w:b/>
          <w:bCs/>
          <w:sz w:val="28"/>
          <w:szCs w:val="28"/>
        </w:rPr>
      </w:pPr>
      <w:r w:rsidRPr="004E5D40">
        <w:rPr>
          <w:b/>
          <w:bCs/>
          <w:sz w:val="28"/>
          <w:szCs w:val="28"/>
        </w:rPr>
        <w:t>CALL FOR ABSTRACTS</w:t>
      </w:r>
      <w:r>
        <w:rPr>
          <w:b/>
          <w:bCs/>
          <w:sz w:val="28"/>
          <w:szCs w:val="28"/>
        </w:rPr>
        <w:br/>
        <w:t>Due Date:  6 April 2020</w:t>
      </w:r>
    </w:p>
    <w:p w14:paraId="50856431" w14:textId="77777777" w:rsidR="00ED3B86" w:rsidRPr="004E5D40" w:rsidRDefault="00ED3B86" w:rsidP="00ED3B86">
      <w:pPr>
        <w:jc w:val="center"/>
        <w:rPr>
          <w:sz w:val="28"/>
          <w:szCs w:val="28"/>
        </w:rPr>
      </w:pPr>
      <w:r w:rsidRPr="004E5D40">
        <w:rPr>
          <w:sz w:val="28"/>
          <w:szCs w:val="28"/>
        </w:rPr>
        <w:t>COMMERCIALIZATION OF EMERGING TECHNOLOGIES CONFERENCE (COMS</w:t>
      </w:r>
      <w:r>
        <w:rPr>
          <w:sz w:val="28"/>
          <w:szCs w:val="28"/>
        </w:rPr>
        <w:t>2020</w:t>
      </w:r>
      <w:r w:rsidRPr="004E5D40">
        <w:rPr>
          <w:sz w:val="28"/>
          <w:szCs w:val="28"/>
        </w:rPr>
        <w:t>)</w:t>
      </w:r>
    </w:p>
    <w:p w14:paraId="28617994" w14:textId="77777777" w:rsidR="00ED3B86" w:rsidRPr="00CA77DA" w:rsidRDefault="00ED3B86" w:rsidP="00ED3B86">
      <w:r w:rsidRPr="00CA77DA">
        <w:t>LOCATION: UNIVERSITIES AT SHADY GROVE, ROCKVILLE MARYLAND (SUBURBAN WASHINGTON D.C.)</w:t>
      </w:r>
    </w:p>
    <w:p w14:paraId="3E81EB12" w14:textId="77777777" w:rsidR="00ED3B86" w:rsidRPr="00CA77DA" w:rsidRDefault="00ED3B86" w:rsidP="00ED3B86">
      <w:r w:rsidRPr="00CA77DA">
        <w:t>EVENT DATES: October 19-22, 2020</w:t>
      </w:r>
    </w:p>
    <w:p w14:paraId="1923F63F" w14:textId="77777777" w:rsidR="00ED3B86" w:rsidRDefault="00ED3B86" w:rsidP="00ED3B86">
      <w:r>
        <w:t>THEME: COMMERCIALIZATION OF CONVERGING TECHNOLOGIES TO ENHANCE QUALITY OF LIFE</w:t>
      </w:r>
    </w:p>
    <w:p w14:paraId="13AA8729" w14:textId="0990BDC9" w:rsidR="00ED3B86" w:rsidRPr="006B0AF0" w:rsidRDefault="00ED3B86" w:rsidP="00ED3B86">
      <w:pPr>
        <w:rPr>
          <w:rFonts w:ascii="Arial" w:hAnsi="Arial" w:cs="Arial"/>
          <w:sz w:val="20"/>
          <w:szCs w:val="20"/>
        </w:rPr>
      </w:pPr>
      <w:r w:rsidRPr="00B07AC5">
        <w:rPr>
          <w:noProof/>
        </w:rPr>
        <w:drawing>
          <wp:anchor distT="0" distB="0" distL="114300" distR="114300" simplePos="0" relativeHeight="251659264" behindDoc="0" locked="0" layoutInCell="1" allowOverlap="1" wp14:anchorId="3F27E018" wp14:editId="3F242F8B">
            <wp:simplePos x="0" y="0"/>
            <wp:positionH relativeFrom="column">
              <wp:posOffset>0</wp:posOffset>
            </wp:positionH>
            <wp:positionV relativeFrom="paragraph">
              <wp:posOffset>2068341</wp:posOffset>
            </wp:positionV>
            <wp:extent cx="2057400" cy="1906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6113" t="7107" r="4063" b="3045"/>
                    <a:stretch/>
                  </pic:blipFill>
                  <pic:spPr bwMode="auto">
                    <a:xfrm>
                      <a:off x="0" y="0"/>
                      <a:ext cx="2057400" cy="1906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T</w:t>
      </w:r>
      <w:r w:rsidRPr="006B0AF0">
        <w:rPr>
          <w:rFonts w:ascii="Arial" w:hAnsi="Arial" w:cs="Arial"/>
          <w:sz w:val="20"/>
          <w:szCs w:val="20"/>
        </w:rPr>
        <w:t>he Micro, Nano and Emerging Technologies Commercialization Education Foundation (MANCEF)</w:t>
      </w:r>
      <w:r>
        <w:rPr>
          <w:rFonts w:ascii="Arial" w:hAnsi="Arial" w:cs="Arial"/>
          <w:sz w:val="20"/>
          <w:szCs w:val="20"/>
        </w:rPr>
        <w:t xml:space="preserve"> has selected</w:t>
      </w:r>
      <w:r w:rsidRPr="006B0AF0">
        <w:rPr>
          <w:rFonts w:ascii="Arial" w:hAnsi="Arial" w:cs="Arial"/>
          <w:sz w:val="20"/>
          <w:szCs w:val="20"/>
        </w:rPr>
        <w:t xml:space="preserve"> </w:t>
      </w:r>
      <w:r>
        <w:rPr>
          <w:rFonts w:ascii="Arial" w:hAnsi="Arial" w:cs="Arial"/>
          <w:sz w:val="20"/>
          <w:szCs w:val="20"/>
        </w:rPr>
        <w:t>‘C</w:t>
      </w:r>
      <w:r w:rsidRPr="006B0AF0">
        <w:rPr>
          <w:rFonts w:ascii="Arial" w:hAnsi="Arial" w:cs="Arial"/>
          <w:sz w:val="20"/>
          <w:szCs w:val="20"/>
        </w:rPr>
        <w:t xml:space="preserve">ommercialization of </w:t>
      </w:r>
      <w:r>
        <w:rPr>
          <w:rFonts w:ascii="Arial" w:hAnsi="Arial" w:cs="Arial"/>
          <w:sz w:val="20"/>
          <w:szCs w:val="20"/>
        </w:rPr>
        <w:t>C</w:t>
      </w:r>
      <w:r w:rsidRPr="006B0AF0">
        <w:rPr>
          <w:rFonts w:ascii="Arial" w:hAnsi="Arial" w:cs="Arial"/>
          <w:sz w:val="20"/>
          <w:szCs w:val="20"/>
        </w:rPr>
        <w:t>onverging</w:t>
      </w:r>
      <w:r w:rsidRPr="006B0AF0">
        <w:rPr>
          <w:rFonts w:ascii="Arial" w:hAnsi="Arial" w:cs="Arial"/>
          <w:i/>
          <w:iCs/>
          <w:sz w:val="20"/>
          <w:szCs w:val="20"/>
        </w:rPr>
        <w:t xml:space="preserve"> </w:t>
      </w:r>
      <w:r>
        <w:rPr>
          <w:rFonts w:ascii="Arial" w:hAnsi="Arial" w:cs="Arial"/>
          <w:sz w:val="20"/>
          <w:szCs w:val="20"/>
        </w:rPr>
        <w:t>Technologies</w:t>
      </w:r>
      <w:r w:rsidRPr="006B0AF0">
        <w:rPr>
          <w:rFonts w:ascii="Arial" w:hAnsi="Arial" w:cs="Arial"/>
          <w:sz w:val="20"/>
          <w:szCs w:val="20"/>
        </w:rPr>
        <w:t xml:space="preserve"> </w:t>
      </w:r>
      <w:r>
        <w:rPr>
          <w:rFonts w:ascii="Arial" w:hAnsi="Arial" w:cs="Arial"/>
          <w:sz w:val="20"/>
          <w:szCs w:val="20"/>
        </w:rPr>
        <w:t>to E</w:t>
      </w:r>
      <w:r w:rsidRPr="006B0AF0">
        <w:rPr>
          <w:rFonts w:ascii="Arial" w:hAnsi="Arial" w:cs="Arial"/>
          <w:sz w:val="20"/>
          <w:szCs w:val="20"/>
        </w:rPr>
        <w:t xml:space="preserve">nhance </w:t>
      </w:r>
      <w:r>
        <w:rPr>
          <w:rFonts w:ascii="Arial" w:hAnsi="Arial" w:cs="Arial"/>
          <w:sz w:val="20"/>
          <w:szCs w:val="20"/>
        </w:rPr>
        <w:t>Quality of L</w:t>
      </w:r>
      <w:r w:rsidRPr="006B0AF0">
        <w:rPr>
          <w:rFonts w:ascii="Arial" w:hAnsi="Arial" w:cs="Arial"/>
          <w:sz w:val="20"/>
          <w:szCs w:val="20"/>
        </w:rPr>
        <w:t>ife</w:t>
      </w:r>
      <w:r>
        <w:rPr>
          <w:rFonts w:ascii="Arial" w:hAnsi="Arial" w:cs="Arial"/>
          <w:sz w:val="20"/>
          <w:szCs w:val="20"/>
        </w:rPr>
        <w:t>’</w:t>
      </w:r>
      <w:r w:rsidRPr="006B0AF0">
        <w:rPr>
          <w:rFonts w:ascii="Arial" w:hAnsi="Arial" w:cs="Arial"/>
          <w:sz w:val="20"/>
          <w:szCs w:val="20"/>
        </w:rPr>
        <w:t xml:space="preserve"> as the overarching theme of its 23</w:t>
      </w:r>
      <w:r w:rsidRPr="006B0AF0">
        <w:rPr>
          <w:rFonts w:ascii="Arial" w:hAnsi="Arial" w:cs="Arial"/>
          <w:sz w:val="20"/>
          <w:szCs w:val="20"/>
          <w:vertAlign w:val="superscript"/>
        </w:rPr>
        <w:t>rd</w:t>
      </w:r>
      <w:r w:rsidRPr="006B0AF0">
        <w:rPr>
          <w:rFonts w:ascii="Arial" w:hAnsi="Arial" w:cs="Arial"/>
          <w:sz w:val="20"/>
          <w:szCs w:val="20"/>
        </w:rPr>
        <w:t xml:space="preserve"> annual COMS Conference. </w:t>
      </w:r>
      <w:r>
        <w:rPr>
          <w:rFonts w:ascii="Arial" w:hAnsi="Arial" w:cs="Arial"/>
          <w:sz w:val="20"/>
          <w:szCs w:val="20"/>
        </w:rPr>
        <w:t>The adoption of converging</w:t>
      </w:r>
      <w:r w:rsidRPr="006B0AF0">
        <w:rPr>
          <w:rFonts w:ascii="Arial" w:hAnsi="Arial" w:cs="Arial"/>
          <w:sz w:val="20"/>
          <w:szCs w:val="20"/>
        </w:rPr>
        <w:t xml:space="preserve"> technologies has proven to enhance the quality of life for individuals vis-à-vis food and water</w:t>
      </w:r>
      <w:r>
        <w:rPr>
          <w:rFonts w:ascii="Arial" w:hAnsi="Arial" w:cs="Arial"/>
          <w:sz w:val="20"/>
          <w:szCs w:val="20"/>
        </w:rPr>
        <w:t xml:space="preserve"> abundance</w:t>
      </w:r>
      <w:r w:rsidRPr="006B0AF0">
        <w:rPr>
          <w:rFonts w:ascii="Arial" w:hAnsi="Arial" w:cs="Arial"/>
          <w:sz w:val="20"/>
          <w:szCs w:val="20"/>
        </w:rPr>
        <w:t>, reduction of carbon emissions and affordable healthcare</w:t>
      </w:r>
      <w:r>
        <w:rPr>
          <w:rFonts w:ascii="Arial" w:hAnsi="Arial" w:cs="Arial"/>
          <w:sz w:val="20"/>
          <w:szCs w:val="20"/>
        </w:rPr>
        <w:t>.</w:t>
      </w:r>
      <w:r w:rsidRPr="006B0AF0">
        <w:rPr>
          <w:rFonts w:ascii="Arial" w:hAnsi="Arial" w:cs="Arial"/>
          <w:sz w:val="20"/>
          <w:szCs w:val="20"/>
        </w:rPr>
        <w:t xml:space="preserve"> The growth of leveraged technology convergence continues to create differentiated </w:t>
      </w:r>
      <w:r w:rsidRPr="00CA77DA">
        <w:rPr>
          <w:rFonts w:ascii="Arial" w:hAnsi="Arial" w:cs="Arial"/>
          <w:sz w:val="20"/>
          <w:szCs w:val="20"/>
        </w:rPr>
        <w:t xml:space="preserve">solutions creating an ever-increasing number of new companies.  Examples of recent outcomes resulting from the converging of multiple exponential technologies demonstrate that the pace of commercialization dramatically accelerates beyond that made by individual constituent technologies.  This phenomenon has been described in the recent NYTimes bestseller, </w:t>
      </w:r>
      <w:r w:rsidRPr="00CA77DA">
        <w:rPr>
          <w:rFonts w:ascii="Arial" w:hAnsi="Arial" w:cs="Arial"/>
          <w:i/>
          <w:iCs/>
          <w:sz w:val="20"/>
          <w:szCs w:val="20"/>
        </w:rPr>
        <w:t xml:space="preserve">The Future is Faster Than You Think </w:t>
      </w:r>
      <w:r w:rsidRPr="00CA77DA">
        <w:rPr>
          <w:rFonts w:ascii="Arial" w:hAnsi="Arial" w:cs="Arial"/>
          <w:sz w:val="20"/>
          <w:szCs w:val="20"/>
        </w:rPr>
        <w:t xml:space="preserve">(P. Diamandis &amp; S. Kottler, 2020).  As an example, contributing technologies as shown in the graphic continue individually to be disrupted by technology advances which can then be leveraged several-fold when combined with other similarly advancing technologies.  </w:t>
      </w:r>
      <w:r w:rsidR="001556FE">
        <w:rPr>
          <w:rFonts w:ascii="Arial" w:hAnsi="Arial" w:cs="Arial"/>
          <w:sz w:val="20"/>
          <w:szCs w:val="20"/>
        </w:rPr>
        <w:t>The significant impact that such technology adoption is having on resilience and sustainability initiatives will also be underscored at the conference.</w:t>
      </w:r>
    </w:p>
    <w:p w14:paraId="100FF32F" w14:textId="77777777" w:rsidR="00ED3B86" w:rsidRPr="006B0AF0" w:rsidRDefault="00ED3B86" w:rsidP="00ED3B86">
      <w:pPr>
        <w:rPr>
          <w:rFonts w:ascii="Arial" w:hAnsi="Arial" w:cs="Arial"/>
          <w:sz w:val="20"/>
          <w:szCs w:val="20"/>
        </w:rPr>
      </w:pPr>
      <w:r w:rsidRPr="006B0AF0">
        <w:rPr>
          <w:rFonts w:ascii="Arial" w:hAnsi="Arial" w:cs="Arial"/>
          <w:sz w:val="20"/>
          <w:szCs w:val="20"/>
        </w:rPr>
        <w:t xml:space="preserve">Examples of derived converging technologies and current applications </w:t>
      </w:r>
      <w:r>
        <w:rPr>
          <w:rFonts w:ascii="Arial" w:hAnsi="Arial" w:cs="Arial"/>
          <w:sz w:val="20"/>
          <w:szCs w:val="20"/>
        </w:rPr>
        <w:t>include the following:</w:t>
      </w:r>
    </w:p>
    <w:p w14:paraId="4EF109E5" w14:textId="73A043CE" w:rsidR="00ED3B86" w:rsidRPr="006B0AF0" w:rsidRDefault="00ED3B86" w:rsidP="00ED3B86">
      <w:pPr>
        <w:ind w:left="2160"/>
        <w:rPr>
          <w:rFonts w:ascii="Arial" w:hAnsi="Arial" w:cs="Arial"/>
          <w:sz w:val="18"/>
          <w:szCs w:val="18"/>
        </w:rPr>
      </w:pPr>
      <w:r w:rsidRPr="006B0AF0">
        <w:rPr>
          <w:rFonts w:ascii="Arial" w:hAnsi="Arial" w:cs="Arial"/>
          <w:sz w:val="18"/>
          <w:szCs w:val="18"/>
        </w:rPr>
        <w:t>Drones = sensing + actuation + energy storage + A.I.</w:t>
      </w:r>
      <w:r w:rsidRPr="006B0AF0">
        <w:rPr>
          <w:rFonts w:ascii="Arial" w:hAnsi="Arial" w:cs="Arial"/>
          <w:sz w:val="18"/>
          <w:szCs w:val="18"/>
        </w:rPr>
        <w:br/>
        <w:t>MEMS = integration(micro) + sensing + actuation + materials</w:t>
      </w:r>
      <w:r w:rsidRPr="006B0AF0">
        <w:rPr>
          <w:rFonts w:ascii="Arial" w:hAnsi="Arial" w:cs="Arial"/>
          <w:sz w:val="18"/>
          <w:szCs w:val="18"/>
        </w:rPr>
        <w:br/>
        <w:t>A.R. / V.R. = displays + sensing + A.I.</w:t>
      </w:r>
      <w:r w:rsidRPr="006B0AF0">
        <w:rPr>
          <w:rFonts w:ascii="Arial" w:hAnsi="Arial" w:cs="Arial"/>
          <w:sz w:val="18"/>
          <w:szCs w:val="18"/>
        </w:rPr>
        <w:br/>
        <w:t xml:space="preserve">Gamification = sensing + A.I. + displays </w:t>
      </w:r>
      <w:r w:rsidRPr="006B0AF0">
        <w:rPr>
          <w:rFonts w:ascii="Arial" w:hAnsi="Arial" w:cs="Arial"/>
          <w:sz w:val="18"/>
          <w:szCs w:val="18"/>
        </w:rPr>
        <w:br/>
        <w:t>IoT = sensing + networks + A.I. (data analytics)</w:t>
      </w:r>
      <w:r w:rsidRPr="006B0AF0">
        <w:rPr>
          <w:rFonts w:ascii="Arial" w:hAnsi="Arial" w:cs="Arial"/>
          <w:sz w:val="18"/>
          <w:szCs w:val="18"/>
        </w:rPr>
        <w:br/>
        <w:t>Autonomous mobility = sensing + integration + energy storage + actuation</w:t>
      </w:r>
      <w:r w:rsidRPr="006B0AF0">
        <w:rPr>
          <w:rFonts w:ascii="Arial" w:hAnsi="Arial" w:cs="Arial"/>
          <w:sz w:val="18"/>
          <w:szCs w:val="18"/>
        </w:rPr>
        <w:br/>
        <w:t>Synthetic biology = biotech + A.I. (data processing / analytics)</w:t>
      </w:r>
    </w:p>
    <w:p w14:paraId="10157C66" w14:textId="77777777" w:rsidR="00ED3B86" w:rsidRPr="00CA77DA" w:rsidRDefault="00ED3B86" w:rsidP="00ED3B86">
      <w:pPr>
        <w:rPr>
          <w:rFonts w:ascii="Arial" w:hAnsi="Arial" w:cs="Arial"/>
          <w:sz w:val="20"/>
          <w:szCs w:val="20"/>
        </w:rPr>
      </w:pPr>
      <w:r w:rsidRPr="00CA77DA">
        <w:rPr>
          <w:rFonts w:ascii="Arial" w:hAnsi="Arial" w:cs="Arial"/>
          <w:sz w:val="20"/>
          <w:szCs w:val="20"/>
        </w:rPr>
        <w:lastRenderedPageBreak/>
        <w:t xml:space="preserve">What is apparent from the myriad of product development and startup activity, extending from converging technology commercialization to the market opportunities they afford, is the need for new training, marketing, funding and business model approaches.  The barriers and opportunities to these will be addressed through case study presentations and open discussion at the conference.  An exciting aspect of convergent technologies is that they provoke the need for new educational training methodologies. </w:t>
      </w:r>
    </w:p>
    <w:p w14:paraId="2351FF3E" w14:textId="77777777" w:rsidR="00ED3B86" w:rsidRPr="00CA77DA" w:rsidRDefault="00ED3B86" w:rsidP="00ED3B86">
      <w:pPr>
        <w:rPr>
          <w:rFonts w:ascii="Arial" w:hAnsi="Arial" w:cs="Arial"/>
          <w:sz w:val="20"/>
          <w:szCs w:val="20"/>
        </w:rPr>
      </w:pPr>
      <w:r w:rsidRPr="00CA77DA">
        <w:rPr>
          <w:rFonts w:ascii="Arial" w:hAnsi="Arial" w:cs="Arial"/>
          <w:sz w:val="20"/>
          <w:szCs w:val="20"/>
        </w:rPr>
        <w:t>Abstracts of length 150-200 words that address the topics of converging technologies are requested to be received no later than April 6.  These could include case studies in the following areas or others that are associate.</w:t>
      </w:r>
    </w:p>
    <w:p w14:paraId="1BB9AB1E" w14:textId="77777777" w:rsidR="00ED3B86" w:rsidRPr="006B0AF0" w:rsidRDefault="00ED3B86" w:rsidP="00ED3B86">
      <w:pPr>
        <w:tabs>
          <w:tab w:val="left" w:pos="4500"/>
        </w:tabs>
        <w:spacing w:line="240" w:lineRule="auto"/>
        <w:ind w:left="1890" w:hanging="450"/>
        <w:rPr>
          <w:rFonts w:ascii="Arial" w:hAnsi="Arial" w:cs="Arial"/>
          <w:sz w:val="20"/>
          <w:szCs w:val="20"/>
        </w:rPr>
      </w:pPr>
      <w:r>
        <w:rPr>
          <w:rFonts w:ascii="Arial" w:hAnsi="Arial" w:cs="Arial"/>
          <w:sz w:val="20"/>
          <w:szCs w:val="20"/>
        </w:rPr>
        <w:tab/>
        <w:t xml:space="preserve">     </w:t>
      </w:r>
      <w:r w:rsidRPr="006B0AF0">
        <w:rPr>
          <w:rFonts w:ascii="Arial" w:hAnsi="Arial" w:cs="Arial"/>
          <w:sz w:val="20"/>
          <w:szCs w:val="20"/>
        </w:rPr>
        <w:t>digital healthcare</w:t>
      </w:r>
    </w:p>
    <w:p w14:paraId="3CE65D37" w14:textId="26D22C18" w:rsidR="00ED3B86" w:rsidRPr="006B0AF0" w:rsidRDefault="00ED3B86" w:rsidP="00ED3B86">
      <w:pPr>
        <w:tabs>
          <w:tab w:val="left" w:pos="4500"/>
        </w:tabs>
        <w:spacing w:line="240" w:lineRule="auto"/>
        <w:ind w:left="1890" w:hanging="450"/>
        <w:rPr>
          <w:rFonts w:ascii="Arial" w:hAnsi="Arial" w:cs="Arial"/>
          <w:sz w:val="20"/>
          <w:szCs w:val="20"/>
        </w:rPr>
      </w:pPr>
      <w:r>
        <w:rPr>
          <w:rFonts w:ascii="Arial" w:hAnsi="Arial" w:cs="Arial"/>
          <w:sz w:val="20"/>
          <w:szCs w:val="20"/>
        </w:rPr>
        <w:tab/>
        <w:t xml:space="preserve">     </w:t>
      </w:r>
      <w:r w:rsidRPr="006B0AF0">
        <w:rPr>
          <w:rFonts w:ascii="Arial" w:hAnsi="Arial" w:cs="Arial"/>
          <w:sz w:val="20"/>
          <w:szCs w:val="20"/>
        </w:rPr>
        <w:t xml:space="preserve">digital </w:t>
      </w:r>
      <w:r w:rsidR="00083A9C">
        <w:rPr>
          <w:rFonts w:ascii="Arial" w:hAnsi="Arial" w:cs="Arial"/>
          <w:sz w:val="20"/>
          <w:szCs w:val="20"/>
        </w:rPr>
        <w:t xml:space="preserve">/ additive </w:t>
      </w:r>
      <w:r w:rsidRPr="006B0AF0">
        <w:rPr>
          <w:rFonts w:ascii="Arial" w:hAnsi="Arial" w:cs="Arial"/>
          <w:sz w:val="20"/>
          <w:szCs w:val="20"/>
        </w:rPr>
        <w:t xml:space="preserve">manufacturing </w:t>
      </w:r>
    </w:p>
    <w:p w14:paraId="6C92CD1C" w14:textId="5FD8EC91" w:rsidR="00ED3B86" w:rsidRPr="00CA77DA" w:rsidRDefault="00ED3B86" w:rsidP="00ED3B86">
      <w:pPr>
        <w:tabs>
          <w:tab w:val="left" w:pos="4500"/>
        </w:tabs>
        <w:spacing w:line="240" w:lineRule="auto"/>
        <w:ind w:left="1890" w:hanging="450"/>
        <w:rPr>
          <w:rFonts w:ascii="Arial" w:hAnsi="Arial" w:cs="Arial"/>
          <w:sz w:val="20"/>
          <w:szCs w:val="20"/>
        </w:rPr>
      </w:pPr>
      <w:r>
        <w:rPr>
          <w:rFonts w:ascii="Arial" w:hAnsi="Arial" w:cs="Arial"/>
          <w:sz w:val="20"/>
          <w:szCs w:val="20"/>
        </w:rPr>
        <w:tab/>
        <w:t xml:space="preserve">     </w:t>
      </w:r>
      <w:r w:rsidRPr="006B0AF0">
        <w:rPr>
          <w:rFonts w:ascii="Arial" w:hAnsi="Arial" w:cs="Arial"/>
          <w:sz w:val="20"/>
          <w:szCs w:val="20"/>
        </w:rPr>
        <w:t>e</w:t>
      </w:r>
      <w:r w:rsidRPr="00CA77DA">
        <w:rPr>
          <w:rFonts w:ascii="Arial" w:hAnsi="Arial" w:cs="Arial"/>
          <w:sz w:val="20"/>
          <w:szCs w:val="20"/>
        </w:rPr>
        <w:t xml:space="preserve">fficient </w:t>
      </w:r>
      <w:proofErr w:type="spellStart"/>
      <w:r w:rsidRPr="00CA77DA">
        <w:rPr>
          <w:rFonts w:ascii="Arial" w:hAnsi="Arial" w:cs="Arial"/>
          <w:sz w:val="20"/>
          <w:szCs w:val="20"/>
        </w:rPr>
        <w:t>agri</w:t>
      </w:r>
      <w:proofErr w:type="spellEnd"/>
      <w:r w:rsidR="00083A9C">
        <w:rPr>
          <w:rFonts w:ascii="Arial" w:hAnsi="Arial" w:cs="Arial"/>
          <w:sz w:val="20"/>
          <w:szCs w:val="20"/>
        </w:rPr>
        <w:t xml:space="preserve"> /aqua </w:t>
      </w:r>
      <w:r w:rsidRPr="00CA77DA">
        <w:rPr>
          <w:rFonts w:ascii="Arial" w:hAnsi="Arial" w:cs="Arial"/>
          <w:sz w:val="20"/>
          <w:szCs w:val="20"/>
        </w:rPr>
        <w:t>culture</w:t>
      </w:r>
    </w:p>
    <w:p w14:paraId="56D3ABF9" w14:textId="77777777" w:rsidR="00ED3B86" w:rsidRPr="00CA77DA" w:rsidRDefault="00ED3B86" w:rsidP="00ED3B86">
      <w:pPr>
        <w:tabs>
          <w:tab w:val="left" w:pos="4500"/>
        </w:tabs>
        <w:spacing w:line="240" w:lineRule="auto"/>
        <w:ind w:left="1890" w:hanging="450"/>
        <w:rPr>
          <w:rFonts w:ascii="Arial" w:hAnsi="Arial" w:cs="Arial"/>
          <w:sz w:val="20"/>
          <w:szCs w:val="20"/>
        </w:rPr>
      </w:pPr>
      <w:r w:rsidRPr="00CA77DA">
        <w:rPr>
          <w:rFonts w:ascii="Arial" w:hAnsi="Arial" w:cs="Arial"/>
          <w:sz w:val="20"/>
          <w:szCs w:val="20"/>
        </w:rPr>
        <w:tab/>
        <w:t xml:space="preserve">     MEMS and sensor-enabled apps </w:t>
      </w:r>
    </w:p>
    <w:p w14:paraId="11795297" w14:textId="3AE8AC47" w:rsidR="00ED3B86" w:rsidRDefault="00ED3B86" w:rsidP="00ED3B86">
      <w:pPr>
        <w:tabs>
          <w:tab w:val="left" w:pos="4500"/>
        </w:tabs>
        <w:spacing w:line="240" w:lineRule="auto"/>
        <w:ind w:left="1890" w:hanging="450"/>
        <w:rPr>
          <w:rFonts w:ascii="Arial" w:hAnsi="Arial" w:cs="Arial"/>
          <w:sz w:val="20"/>
          <w:szCs w:val="20"/>
        </w:rPr>
      </w:pPr>
      <w:r w:rsidRPr="00CA77DA">
        <w:rPr>
          <w:rFonts w:ascii="Arial" w:hAnsi="Arial" w:cs="Arial"/>
          <w:sz w:val="20"/>
          <w:szCs w:val="20"/>
        </w:rPr>
        <w:tab/>
        <w:t xml:space="preserve">     information and national security </w:t>
      </w:r>
    </w:p>
    <w:p w14:paraId="0B25F3A5" w14:textId="13B8DC6A" w:rsidR="00083A9C" w:rsidRPr="00CA77DA" w:rsidRDefault="00083A9C" w:rsidP="00ED3B86">
      <w:pPr>
        <w:tabs>
          <w:tab w:val="left" w:pos="4500"/>
        </w:tabs>
        <w:spacing w:line="240" w:lineRule="auto"/>
        <w:ind w:left="1890" w:hanging="450"/>
        <w:rPr>
          <w:rFonts w:ascii="Arial" w:hAnsi="Arial" w:cs="Arial"/>
          <w:sz w:val="20"/>
          <w:szCs w:val="20"/>
        </w:rPr>
      </w:pPr>
      <w:r>
        <w:rPr>
          <w:rFonts w:ascii="Arial" w:hAnsi="Arial" w:cs="Arial"/>
          <w:sz w:val="20"/>
          <w:szCs w:val="20"/>
        </w:rPr>
        <w:tab/>
        <w:t xml:space="preserve">     smart city</w:t>
      </w:r>
      <w:r w:rsidR="000640F1">
        <w:rPr>
          <w:rFonts w:ascii="Arial" w:hAnsi="Arial" w:cs="Arial"/>
          <w:sz w:val="20"/>
          <w:szCs w:val="20"/>
        </w:rPr>
        <w:t>, resilient and sustainable</w:t>
      </w:r>
      <w:r>
        <w:rPr>
          <w:rFonts w:ascii="Arial" w:hAnsi="Arial" w:cs="Arial"/>
          <w:sz w:val="20"/>
          <w:szCs w:val="20"/>
        </w:rPr>
        <w:t xml:space="preserve"> infrastructure </w:t>
      </w:r>
    </w:p>
    <w:p w14:paraId="76622A3E" w14:textId="4BA89285" w:rsidR="00ED3B86" w:rsidRPr="00CA77DA" w:rsidRDefault="00ED3B86" w:rsidP="00ED3B86">
      <w:pPr>
        <w:tabs>
          <w:tab w:val="left" w:pos="4500"/>
        </w:tabs>
        <w:spacing w:line="240" w:lineRule="auto"/>
        <w:ind w:left="1890" w:hanging="450"/>
        <w:rPr>
          <w:rFonts w:ascii="Arial" w:hAnsi="Arial" w:cs="Arial"/>
          <w:sz w:val="20"/>
          <w:szCs w:val="20"/>
        </w:rPr>
      </w:pPr>
      <w:r w:rsidRPr="00CA77DA">
        <w:rPr>
          <w:rFonts w:ascii="Arial" w:hAnsi="Arial" w:cs="Arial"/>
          <w:sz w:val="20"/>
          <w:szCs w:val="20"/>
        </w:rPr>
        <w:tab/>
        <w:t xml:space="preserve">     environmental monitoring</w:t>
      </w:r>
    </w:p>
    <w:p w14:paraId="2EFB7FFD" w14:textId="2AB9D892" w:rsidR="00ED3B86" w:rsidRPr="00CA77DA" w:rsidRDefault="00ED3B86" w:rsidP="00ED3B86">
      <w:pPr>
        <w:tabs>
          <w:tab w:val="left" w:pos="4500"/>
        </w:tabs>
        <w:spacing w:line="240" w:lineRule="auto"/>
        <w:ind w:left="1890" w:hanging="450"/>
        <w:rPr>
          <w:rFonts w:ascii="Arial" w:hAnsi="Arial" w:cs="Arial"/>
          <w:sz w:val="20"/>
          <w:szCs w:val="20"/>
        </w:rPr>
      </w:pPr>
      <w:r w:rsidRPr="00CA77DA">
        <w:rPr>
          <w:rFonts w:ascii="Arial" w:hAnsi="Arial" w:cs="Arial"/>
          <w:sz w:val="20"/>
          <w:szCs w:val="20"/>
        </w:rPr>
        <w:tab/>
        <w:t xml:space="preserve">     autonomous systems</w:t>
      </w:r>
    </w:p>
    <w:p w14:paraId="0169E34E" w14:textId="77777777" w:rsidR="00ED3B86" w:rsidRPr="006B0AF0" w:rsidRDefault="00ED3B86" w:rsidP="00ED3B86">
      <w:pPr>
        <w:rPr>
          <w:rFonts w:ascii="Arial" w:hAnsi="Arial" w:cs="Arial"/>
          <w:sz w:val="20"/>
          <w:szCs w:val="20"/>
        </w:rPr>
      </w:pPr>
      <w:r w:rsidRPr="00CA77DA">
        <w:rPr>
          <w:rFonts w:ascii="Arial" w:hAnsi="Arial" w:cs="Arial"/>
          <w:sz w:val="20"/>
          <w:szCs w:val="20"/>
        </w:rPr>
        <w:t xml:space="preserve">Presentations from areas that support commercialization such as licensing, education, infrastructure and clusters, funding and grant opportunities issues are also welcomed.  </w:t>
      </w:r>
      <w:r w:rsidRPr="006B0AF0">
        <w:rPr>
          <w:rFonts w:ascii="Arial" w:hAnsi="Arial" w:cs="Arial"/>
          <w:sz w:val="20"/>
          <w:szCs w:val="20"/>
        </w:rPr>
        <w:t>The submission should include a description of how health, security and/or environment are aided by this commercialization effort.</w:t>
      </w:r>
      <w:bookmarkStart w:id="0" w:name="_Hlk34573898"/>
      <w:r>
        <w:rPr>
          <w:rFonts w:ascii="Arial" w:hAnsi="Arial" w:cs="Arial"/>
          <w:sz w:val="20"/>
          <w:szCs w:val="20"/>
        </w:rPr>
        <w:t xml:space="preserve"> Please go to</w:t>
      </w:r>
      <w:r>
        <w:rPr>
          <w:rFonts w:ascii="Arial" w:hAnsi="Arial" w:cs="Arial"/>
        </w:rPr>
        <w:t xml:space="preserve"> </w:t>
      </w:r>
      <w:hyperlink r:id="rId6" w:history="1">
        <w:r w:rsidRPr="00DD00B7">
          <w:rPr>
            <w:rStyle w:val="Hyperlink"/>
          </w:rPr>
          <w:t>www.mancef.org/coms2020/</w:t>
        </w:r>
      </w:hyperlink>
      <w:r>
        <w:rPr>
          <w:rFonts w:ascii="Arial" w:hAnsi="Arial" w:cs="Arial"/>
        </w:rPr>
        <w:t xml:space="preserve"> </w:t>
      </w:r>
      <w:bookmarkEnd w:id="0"/>
      <w:r>
        <w:rPr>
          <w:rFonts w:ascii="Arial" w:hAnsi="Arial" w:cs="Arial"/>
          <w:sz w:val="20"/>
          <w:szCs w:val="20"/>
        </w:rPr>
        <w:t>to upload and submit</w:t>
      </w:r>
      <w:r w:rsidRPr="006B0AF0">
        <w:rPr>
          <w:rFonts w:ascii="Arial" w:hAnsi="Arial" w:cs="Arial"/>
          <w:sz w:val="20"/>
          <w:szCs w:val="20"/>
        </w:rPr>
        <w:t xml:space="preserve"> your abstract</w:t>
      </w:r>
      <w:r>
        <w:rPr>
          <w:rFonts w:ascii="Arial" w:hAnsi="Arial" w:cs="Arial"/>
          <w:sz w:val="20"/>
          <w:szCs w:val="20"/>
        </w:rPr>
        <w:t>.</w:t>
      </w:r>
    </w:p>
    <w:p w14:paraId="5641EB5F" w14:textId="77777777" w:rsidR="00ED3B86" w:rsidRPr="006B0AF0" w:rsidRDefault="00ED3B86" w:rsidP="00ED3B86">
      <w:pPr>
        <w:rPr>
          <w:rFonts w:ascii="Arial" w:hAnsi="Arial" w:cs="Arial"/>
          <w:sz w:val="20"/>
          <w:szCs w:val="20"/>
        </w:rPr>
      </w:pPr>
      <w:r w:rsidRPr="006B0AF0">
        <w:rPr>
          <w:rFonts w:ascii="Arial" w:hAnsi="Arial" w:cs="Arial"/>
          <w:sz w:val="20"/>
          <w:szCs w:val="20"/>
        </w:rPr>
        <w:t xml:space="preserve">Notification of abstract selection will be made by April 27.  All selected authors will be provided with a presentation slot in the COMS2020 program and will have their </w:t>
      </w:r>
      <w:r w:rsidRPr="00A536FF">
        <w:rPr>
          <w:rFonts w:ascii="Arial" w:hAnsi="Arial" w:cs="Arial"/>
          <w:sz w:val="20"/>
          <w:szCs w:val="20"/>
        </w:rPr>
        <w:t xml:space="preserve">abstract and bios published </w:t>
      </w:r>
      <w:r w:rsidRPr="006B0AF0">
        <w:rPr>
          <w:rFonts w:ascii="Arial" w:hAnsi="Arial" w:cs="Arial"/>
          <w:sz w:val="20"/>
          <w:szCs w:val="20"/>
        </w:rPr>
        <w:t>in a conference book of abstracts.</w:t>
      </w:r>
    </w:p>
    <w:p w14:paraId="39EF72A8" w14:textId="77777777" w:rsidR="00ED3B86" w:rsidRPr="006B0AF0" w:rsidRDefault="00ED3B86" w:rsidP="00ED3B86">
      <w:pPr>
        <w:rPr>
          <w:rFonts w:ascii="Arial" w:hAnsi="Arial" w:cs="Arial"/>
          <w:sz w:val="20"/>
          <w:szCs w:val="20"/>
        </w:rPr>
      </w:pPr>
      <w:r w:rsidRPr="006B0AF0">
        <w:rPr>
          <w:rFonts w:ascii="Arial" w:hAnsi="Arial" w:cs="Arial"/>
          <w:sz w:val="20"/>
          <w:szCs w:val="20"/>
        </w:rPr>
        <w:t xml:space="preserve">The COMS 2020 venue will also play host to a small technology exhibit.   </w:t>
      </w:r>
    </w:p>
    <w:p w14:paraId="320E5F7D" w14:textId="1D3E0541" w:rsidR="00ED3B86" w:rsidRDefault="00ED3B86" w:rsidP="00ED3B86">
      <w:r w:rsidRPr="006B0AF0">
        <w:rPr>
          <w:rFonts w:ascii="Arial" w:hAnsi="Arial" w:cs="Arial"/>
          <w:sz w:val="20"/>
          <w:szCs w:val="20"/>
        </w:rPr>
        <w:t>For details regarding conference registration, sponsorship and exhibit opportunities, please visit</w:t>
      </w:r>
      <w:r>
        <w:rPr>
          <w:rFonts w:ascii="Arial" w:hAnsi="Arial" w:cs="Arial"/>
        </w:rPr>
        <w:t xml:space="preserve"> </w:t>
      </w:r>
      <w:hyperlink r:id="rId7" w:history="1">
        <w:r w:rsidRPr="00A76CB4">
          <w:rPr>
            <w:rStyle w:val="Hyperlink"/>
          </w:rPr>
          <w:t>www.mancef.org/coms2020/</w:t>
        </w:r>
      </w:hyperlink>
    </w:p>
    <w:p w14:paraId="224781A2" w14:textId="5D91118A" w:rsidR="000B219F" w:rsidRPr="000B219F" w:rsidRDefault="00ED3B86" w:rsidP="000B219F">
      <w:pPr>
        <w:jc w:val="center"/>
        <w:rPr>
          <w:rFonts w:ascii="Arial" w:hAnsi="Arial" w:cs="Arial"/>
          <w:b/>
          <w:bCs/>
          <w:u w:val="single"/>
        </w:rPr>
      </w:pPr>
      <w:r w:rsidRPr="00ED3B86">
        <w:rPr>
          <w:b/>
          <w:bCs/>
          <w:u w:val="single"/>
        </w:rPr>
        <w:t>COMS2020 SPONSO</w:t>
      </w:r>
      <w:r w:rsidR="000B219F">
        <w:rPr>
          <w:b/>
          <w:bCs/>
          <w:u w:val="single"/>
        </w:rPr>
        <w:t>RS</w:t>
      </w:r>
    </w:p>
    <w:tbl>
      <w:tblPr>
        <w:tblStyle w:val="TableGrid"/>
        <w:tblW w:w="0" w:type="auto"/>
        <w:tblLook w:val="04A0" w:firstRow="1" w:lastRow="0" w:firstColumn="1" w:lastColumn="0" w:noHBand="0" w:noVBand="1"/>
      </w:tblPr>
      <w:tblGrid>
        <w:gridCol w:w="2773"/>
        <w:gridCol w:w="2609"/>
        <w:gridCol w:w="163"/>
        <w:gridCol w:w="1916"/>
        <w:gridCol w:w="1899"/>
      </w:tblGrid>
      <w:tr w:rsidR="000B219F" w14:paraId="3F84F351" w14:textId="77777777" w:rsidTr="000640F1">
        <w:tc>
          <w:tcPr>
            <w:tcW w:w="5400" w:type="dxa"/>
            <w:gridSpan w:val="2"/>
            <w:tcBorders>
              <w:top w:val="nil"/>
              <w:left w:val="nil"/>
              <w:bottom w:val="nil"/>
              <w:right w:val="nil"/>
            </w:tcBorders>
            <w:vAlign w:val="center"/>
          </w:tcPr>
          <w:p w14:paraId="3314C923" w14:textId="5787AC12" w:rsidR="000B219F" w:rsidRPr="000B219F" w:rsidRDefault="000640F1" w:rsidP="000B219F">
            <w:pPr>
              <w:jc w:val="center"/>
              <w:rPr>
                <w:b/>
                <w:bCs/>
              </w:rPr>
            </w:pPr>
            <w:r>
              <w:rPr>
                <w:b/>
                <w:bCs/>
              </w:rPr>
              <w:t xml:space="preserve">                </w:t>
            </w:r>
            <w:r w:rsidR="000B219F" w:rsidRPr="000B219F">
              <w:rPr>
                <w:b/>
                <w:bCs/>
              </w:rPr>
              <w:t>GOLD SPONSORS</w:t>
            </w:r>
          </w:p>
        </w:tc>
        <w:tc>
          <w:tcPr>
            <w:tcW w:w="3950" w:type="dxa"/>
            <w:gridSpan w:val="3"/>
            <w:tcBorders>
              <w:top w:val="nil"/>
              <w:left w:val="nil"/>
              <w:bottom w:val="nil"/>
              <w:right w:val="nil"/>
            </w:tcBorders>
            <w:vAlign w:val="center"/>
          </w:tcPr>
          <w:p w14:paraId="09F60E08" w14:textId="22D66A1C" w:rsidR="000B219F" w:rsidRPr="000B219F" w:rsidRDefault="000640F1" w:rsidP="000640F1">
            <w:pPr>
              <w:rPr>
                <w:b/>
                <w:bCs/>
              </w:rPr>
            </w:pPr>
            <w:r>
              <w:rPr>
                <w:b/>
                <w:bCs/>
              </w:rPr>
              <w:t xml:space="preserve">           </w:t>
            </w:r>
            <w:r w:rsidR="000B219F" w:rsidRPr="000B219F">
              <w:rPr>
                <w:b/>
                <w:bCs/>
              </w:rPr>
              <w:t>BRONZE SPONSOR</w:t>
            </w:r>
          </w:p>
        </w:tc>
      </w:tr>
      <w:tr w:rsidR="000B219F" w14:paraId="091AD3ED" w14:textId="77777777" w:rsidTr="000640F1">
        <w:trPr>
          <w:trHeight w:val="791"/>
        </w:trPr>
        <w:tc>
          <w:tcPr>
            <w:tcW w:w="2790" w:type="dxa"/>
            <w:tcBorders>
              <w:top w:val="nil"/>
              <w:left w:val="nil"/>
              <w:bottom w:val="nil"/>
              <w:right w:val="nil"/>
            </w:tcBorders>
            <w:vAlign w:val="center"/>
          </w:tcPr>
          <w:p w14:paraId="6A773CEB" w14:textId="2AEC5C14" w:rsidR="000B219F" w:rsidRDefault="000640F1" w:rsidP="00083A9C">
            <w:r>
              <w:rPr>
                <w:noProof/>
              </w:rPr>
              <w:drawing>
                <wp:anchor distT="0" distB="0" distL="114300" distR="114300" simplePos="0" relativeHeight="251660288" behindDoc="1" locked="0" layoutInCell="1" allowOverlap="1" wp14:anchorId="16FC7553" wp14:editId="552DD40D">
                  <wp:simplePos x="0" y="0"/>
                  <wp:positionH relativeFrom="column">
                    <wp:posOffset>640080</wp:posOffset>
                  </wp:positionH>
                  <wp:positionV relativeFrom="paragraph">
                    <wp:posOffset>-319405</wp:posOffset>
                  </wp:positionV>
                  <wp:extent cx="1174750" cy="302895"/>
                  <wp:effectExtent l="0" t="0" r="6350" b="190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302895"/>
                          </a:xfrm>
                          <a:prstGeom prst="rect">
                            <a:avLst/>
                          </a:prstGeom>
                          <a:noFill/>
                        </pic:spPr>
                      </pic:pic>
                    </a:graphicData>
                  </a:graphic>
                  <wp14:sizeRelH relativeFrom="margin">
                    <wp14:pctWidth>0</wp14:pctWidth>
                  </wp14:sizeRelH>
                  <wp14:sizeRelV relativeFrom="margin">
                    <wp14:pctHeight>0</wp14:pctHeight>
                  </wp14:sizeRelV>
                </wp:anchor>
              </w:drawing>
            </w:r>
          </w:p>
        </w:tc>
        <w:tc>
          <w:tcPr>
            <w:tcW w:w="2700" w:type="dxa"/>
            <w:gridSpan w:val="2"/>
            <w:tcBorders>
              <w:top w:val="nil"/>
              <w:left w:val="nil"/>
              <w:bottom w:val="nil"/>
              <w:right w:val="nil"/>
            </w:tcBorders>
          </w:tcPr>
          <w:p w14:paraId="7B69030C" w14:textId="6BA16D56" w:rsidR="000B219F" w:rsidRDefault="000B219F">
            <w:r>
              <w:rPr>
                <w:noProof/>
              </w:rPr>
              <w:drawing>
                <wp:anchor distT="0" distB="0" distL="114300" distR="114300" simplePos="0" relativeHeight="251661312" behindDoc="1" locked="0" layoutInCell="1" allowOverlap="1" wp14:anchorId="00AAD94D" wp14:editId="14C87392">
                  <wp:simplePos x="0" y="0"/>
                  <wp:positionH relativeFrom="column">
                    <wp:posOffset>91830</wp:posOffset>
                  </wp:positionH>
                  <wp:positionV relativeFrom="paragraph">
                    <wp:posOffset>0</wp:posOffset>
                  </wp:positionV>
                  <wp:extent cx="1591310" cy="408305"/>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408305"/>
                          </a:xfrm>
                          <a:prstGeom prst="rect">
                            <a:avLst/>
                          </a:prstGeom>
                          <a:noFill/>
                        </pic:spPr>
                      </pic:pic>
                    </a:graphicData>
                  </a:graphic>
                </wp:anchor>
              </w:drawing>
            </w:r>
          </w:p>
        </w:tc>
        <w:tc>
          <w:tcPr>
            <w:tcW w:w="3860" w:type="dxa"/>
            <w:gridSpan w:val="2"/>
            <w:tcBorders>
              <w:top w:val="nil"/>
              <w:left w:val="nil"/>
              <w:bottom w:val="nil"/>
              <w:right w:val="nil"/>
            </w:tcBorders>
            <w:vAlign w:val="center"/>
          </w:tcPr>
          <w:p w14:paraId="48ABFD22" w14:textId="102F0715" w:rsidR="000B219F" w:rsidRDefault="00083A9C" w:rsidP="00083A9C">
            <w:r>
              <w:rPr>
                <w:noProof/>
              </w:rPr>
              <w:drawing>
                <wp:anchor distT="0" distB="0" distL="114300" distR="114300" simplePos="0" relativeHeight="251662336" behindDoc="0" locked="0" layoutInCell="1" allowOverlap="1" wp14:anchorId="5ECF004F" wp14:editId="221E4C8C">
                  <wp:simplePos x="0" y="0"/>
                  <wp:positionH relativeFrom="column">
                    <wp:posOffset>219710</wp:posOffset>
                  </wp:positionH>
                  <wp:positionV relativeFrom="paragraph">
                    <wp:posOffset>-249555</wp:posOffset>
                  </wp:positionV>
                  <wp:extent cx="1170305" cy="243840"/>
                  <wp:effectExtent l="0" t="0" r="0" b="381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243840"/>
                          </a:xfrm>
                          <a:prstGeom prst="rect">
                            <a:avLst/>
                          </a:prstGeom>
                          <a:noFill/>
                        </pic:spPr>
                      </pic:pic>
                    </a:graphicData>
                  </a:graphic>
                  <wp14:sizeRelH relativeFrom="margin">
                    <wp14:pctWidth>0</wp14:pctWidth>
                  </wp14:sizeRelH>
                  <wp14:sizeRelV relativeFrom="margin">
                    <wp14:pctHeight>0</wp14:pctHeight>
                  </wp14:sizeRelV>
                </wp:anchor>
              </w:drawing>
            </w:r>
          </w:p>
        </w:tc>
      </w:tr>
      <w:tr w:rsidR="000B219F" w14:paraId="01BF8373" w14:textId="77777777" w:rsidTr="000640F1">
        <w:tc>
          <w:tcPr>
            <w:tcW w:w="2790" w:type="dxa"/>
            <w:tcBorders>
              <w:top w:val="nil"/>
              <w:left w:val="nil"/>
              <w:bottom w:val="nil"/>
              <w:right w:val="nil"/>
            </w:tcBorders>
          </w:tcPr>
          <w:p w14:paraId="6540E504" w14:textId="105CD1D8" w:rsidR="000B219F" w:rsidRDefault="000B219F"/>
        </w:tc>
        <w:tc>
          <w:tcPr>
            <w:tcW w:w="2700" w:type="dxa"/>
            <w:gridSpan w:val="2"/>
            <w:tcBorders>
              <w:top w:val="nil"/>
              <w:left w:val="nil"/>
              <w:bottom w:val="nil"/>
              <w:right w:val="nil"/>
            </w:tcBorders>
          </w:tcPr>
          <w:p w14:paraId="059EB3F5" w14:textId="77777777" w:rsidR="000B219F" w:rsidRDefault="000B219F">
            <w:bookmarkStart w:id="1" w:name="_GoBack"/>
            <w:bookmarkEnd w:id="1"/>
          </w:p>
        </w:tc>
        <w:tc>
          <w:tcPr>
            <w:tcW w:w="1933" w:type="dxa"/>
            <w:tcBorders>
              <w:top w:val="nil"/>
              <w:left w:val="nil"/>
              <w:bottom w:val="nil"/>
              <w:right w:val="nil"/>
            </w:tcBorders>
          </w:tcPr>
          <w:p w14:paraId="346A67E4" w14:textId="77777777" w:rsidR="000B219F" w:rsidRDefault="000B219F"/>
        </w:tc>
        <w:tc>
          <w:tcPr>
            <w:tcW w:w="1927" w:type="dxa"/>
            <w:tcBorders>
              <w:top w:val="nil"/>
              <w:left w:val="nil"/>
              <w:bottom w:val="nil"/>
              <w:right w:val="nil"/>
            </w:tcBorders>
          </w:tcPr>
          <w:p w14:paraId="71205DE8" w14:textId="77777777" w:rsidR="000B219F" w:rsidRDefault="000B219F"/>
        </w:tc>
      </w:tr>
      <w:tr w:rsidR="000B219F" w14:paraId="2D6BCF24" w14:textId="77777777" w:rsidTr="000640F1">
        <w:tc>
          <w:tcPr>
            <w:tcW w:w="2790" w:type="dxa"/>
            <w:tcBorders>
              <w:top w:val="nil"/>
              <w:left w:val="nil"/>
              <w:bottom w:val="nil"/>
              <w:right w:val="nil"/>
            </w:tcBorders>
          </w:tcPr>
          <w:p w14:paraId="2B227120" w14:textId="31DD58E2" w:rsidR="000B219F" w:rsidRDefault="000B219F"/>
        </w:tc>
        <w:tc>
          <w:tcPr>
            <w:tcW w:w="2700" w:type="dxa"/>
            <w:gridSpan w:val="2"/>
            <w:tcBorders>
              <w:top w:val="nil"/>
              <w:left w:val="nil"/>
              <w:bottom w:val="nil"/>
              <w:right w:val="nil"/>
            </w:tcBorders>
          </w:tcPr>
          <w:p w14:paraId="635AA1C1" w14:textId="77777777" w:rsidR="000B219F" w:rsidRDefault="000B219F"/>
        </w:tc>
        <w:tc>
          <w:tcPr>
            <w:tcW w:w="1933" w:type="dxa"/>
            <w:tcBorders>
              <w:top w:val="nil"/>
              <w:left w:val="nil"/>
              <w:bottom w:val="nil"/>
              <w:right w:val="nil"/>
            </w:tcBorders>
          </w:tcPr>
          <w:p w14:paraId="26FC64BF" w14:textId="77777777" w:rsidR="000B219F" w:rsidRDefault="000B219F"/>
        </w:tc>
        <w:tc>
          <w:tcPr>
            <w:tcW w:w="1927" w:type="dxa"/>
            <w:tcBorders>
              <w:top w:val="nil"/>
              <w:left w:val="nil"/>
              <w:bottom w:val="nil"/>
              <w:right w:val="nil"/>
            </w:tcBorders>
          </w:tcPr>
          <w:p w14:paraId="3BB1C1FD" w14:textId="77777777" w:rsidR="000B219F" w:rsidRDefault="000B219F"/>
        </w:tc>
      </w:tr>
    </w:tbl>
    <w:p w14:paraId="08CDF84E" w14:textId="74C51C2D" w:rsidR="00C86953" w:rsidRDefault="00C86953"/>
    <w:sectPr w:rsidR="00C86953" w:rsidSect="001556F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86"/>
    <w:rsid w:val="000640F1"/>
    <w:rsid w:val="00083A9C"/>
    <w:rsid w:val="000B219F"/>
    <w:rsid w:val="001556FE"/>
    <w:rsid w:val="00256679"/>
    <w:rsid w:val="004850A2"/>
    <w:rsid w:val="007519A6"/>
    <w:rsid w:val="00973DBB"/>
    <w:rsid w:val="00C86953"/>
    <w:rsid w:val="00ED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69F7"/>
  <w15:chartTrackingRefBased/>
  <w15:docId w15:val="{7EBA1C44-5A48-4F6B-A09F-3DD61460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B86"/>
    <w:rPr>
      <w:color w:val="0563C1" w:themeColor="hyperlink"/>
      <w:u w:val="single"/>
    </w:rPr>
  </w:style>
  <w:style w:type="table" w:styleId="TableGrid">
    <w:name w:val="Table Grid"/>
    <w:basedOn w:val="TableNormal"/>
    <w:uiPriority w:val="39"/>
    <w:rsid w:val="000B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mancef.org/coms20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cef.org/coms2020/"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Christenson</dc:creator>
  <cp:keywords/>
  <dc:description/>
  <cp:lastModifiedBy>Todd Christenson</cp:lastModifiedBy>
  <cp:revision>2</cp:revision>
  <cp:lastPrinted>2020-03-13T21:17:00Z</cp:lastPrinted>
  <dcterms:created xsi:type="dcterms:W3CDTF">2020-03-14T20:38:00Z</dcterms:created>
  <dcterms:modified xsi:type="dcterms:W3CDTF">2020-03-14T20:38:00Z</dcterms:modified>
</cp:coreProperties>
</file>